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Arimo-bold.ttf" ContentType="application/x-font-ttf"/>
  <Override PartName="/word/fonts/Arimo-boldItalic.ttf" ContentType="application/x-font-ttf"/>
  <Override PartName="/word/fonts/Arimo-italic.ttf" ContentType="application/x-font-ttf"/>
  <Override PartName="/word/fonts/Arimo-regular.ttf" ContentType="application/x-font-tt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0" w:line="24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Alex Horton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before="0" w:line="240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color w:val="1f3a5f"/>
          <w:sz w:val="20"/>
          <w:szCs w:val="20"/>
          <w:rtl w:val="0"/>
        </w:rPr>
        <w:t>Full-Stack Product Engineer  |  Applied AI + Workflow Tools  |  0→1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1f3a5f" w:space="4" w:sz="12" w:val="single"/>
        </w:pBdr>
        <w:spacing w:after="60" w:before="0" w:line="240" w:lineRule="auto"/>
        <w:jc w:val="center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Santa Cruz, CA  |  (408) 410-6604  |  horton.alexander@gmail.com  |  </w:t>
      </w:r>
      <w:hyperlink r:id="rId6">
        <w:r w:rsidDel="00000000" w:rsidR="00000000" w:rsidRPr="00000000">
          <w:rPr>
            <w:rFonts w:ascii="Arial" w:cs="Arial" w:eastAsia="Arial" w:hAnsi="Arial"/>
            <w:color w:val="0563c1"/>
            <w:sz w:val="19"/>
            <w:szCs w:val="19"/>
            <w:u w:val="single"/>
            <w:rtl w:val="0"/>
          </w:rPr>
          <w:t xml:space="preserve">alexhorton.dev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b8c5d6" w:space="2" w:sz="6" w:val="single"/>
        </w:pBdr>
        <w:spacing w:after="40" w:before="120" w:lin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a5f"/>
          <w:sz w:val="21"/>
          <w:szCs w:val="21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360" w:right="0" w:hanging="195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Full-Stack Engineering: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Next.js, React, TypeScript, Tailwind CSS, shadcn/ui, Node, FastAPI, Python.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360" w:right="0" w:hanging="195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Backend &amp; Database: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Supabase / PostgreSQL, DuckDB, schema design, auth, REST APIs, third-party integrations, scheduled data pipelines.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360" w:right="0" w:hanging="195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DevOps &amp; Tooling: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Vercel, Docker, Git workflows, GitHub Actions CI/CD, observability and analytics instrumentation, basic GCP.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360" w:right="0" w:hanging="195"/>
        <w:jc w:val="left"/>
        <w:rPr/>
      </w:pPr>
      <w:r w:rsidDel="00000000" w:rsidR="00000000" w:rsidRPr="00000000">
        <w:rPr>
          <w:rFonts w:ascii="Arial" w:cs="Arial" w:eastAsia="Arial" w:hAnsi="Arial"/>
          <w:b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>AI-Augmented Development: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Daily Claude Code + Cursor dev loop, Hermes-style agent workflows, multi-agent orchestration, OpenRouter/model routing, tmux, and Obsidian/persistent context. Build internal AI tooling that rides alongside my own work.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360" w:right="0" w:hanging="195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Quantitative &amp; ML: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Scikit-learn, XGBoost, Random Forest, ensemble methods, regression, PCA, hypothesis testing, time-series analysis, walk-forward validation, feature engineering.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360" w:right="0" w:hanging="195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Product &amp; Design: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End-to-end shipping, user interviews, MVP scoping, design thinking, dashboards, data visualization.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360" w:right="0" w:hanging="195"/>
        <w:jc w:val="left"/>
        <w:rPr/>
      </w:pPr>
      <w:r w:rsidDel="00000000" w:rsidR="00000000" w:rsidRPr="00000000">
        <w:rPr>
          <w:rFonts w:ascii="Arial" w:cs="Arial" w:eastAsia="Arial" w:hAnsi="Arial"/>
          <w:b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>Domains: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Applied AI, workflow tools, real estate, financial markets, energy/solar, consumer/prosumer tools.</w:t>
      </w:r>
    </w:p>
    <w:p w:rsidR="00000000" w:rsidDel="00000000" w:rsidP="00000000" w:rsidRDefault="00000000" w:rsidRPr="00000000" w14:paraId="0000000C">
      <w:pPr>
        <w:pBdr>
          <w:bottom w:color="b8c5d6" w:space="2" w:sz="6" w:val="single"/>
        </w:pBdr>
        <w:spacing w:after="40" w:before="120" w:lin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a5f"/>
          <w:sz w:val="21"/>
          <w:szCs w:val="21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60" w:lin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Builder, Full-Stack Product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0" w:before="0" w:line="24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1f3a5f"/>
          <w:sz w:val="19"/>
          <w:szCs w:val="19"/>
          <w:rtl w:val="0"/>
        </w:rPr>
        <w:t xml:space="preserve">Independent  |  Santa Cruz, CA  |  2020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360" w:right="0" w:hanging="195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Propfi.live (real-estate analytics):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Financial analytics tool for property managers. Portfolio performance was tracked across Appfolio CSV exports, PDFs, and ad-hoc client emails. Built a single Next.js + Supabase tool that ingests the CSVs, generates financial views, and produces shareable client reports.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360" w:right="0" w:hanging="195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Energyscout.org (consumer solar tool):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Consumer-facing switch-to-solar calculator. Homeowners had no neutral way to compare installer quotes. Built an individualized calculator that combines production data, incentives, and ROI into one personalized report. Next.js, Supabase, Vercel.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360" w:right="0" w:hanging="195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Bitcoinmachinelearning.com (quant research):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Public BTC analysis is dominated by chart-reading; rigorous statistical work is rare. Built a research site investigating price drivers (halving cycle, power-law fit, M2 supply) with a triple-SMA strategy backtested walk-forward at 1.8 Sharpe. Supabase + DuckDB scheduled jobs.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360" w:right="0" w:hanging="195"/>
        <w:jc w:val="left"/>
        <w:rPr/>
      </w:pPr>
      <w:r w:rsidDel="00000000" w:rsidR="00000000" w:rsidRPr="00000000">
        <w:rPr>
          <w:rFonts w:ascii="Arial" w:cs="Arial" w:eastAsia="Arial" w:hAnsi="Arial"/>
          <w:b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>AI-augmented dev workflow: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Each project runs with a coordinated agent/workflow system (Claude Code, Hermes-style agents, OpenRouter, tmux, and Obsidian) for context-passing, implementation support, and project memory across sessions.</w:t>
      </w:r>
    </w:p>
    <w:p w:rsidR="00000000" w:rsidDel="00000000" w:rsidP="00000000" w:rsidRDefault="00000000" w:rsidRPr="00000000" w14:paraId="00000013">
      <w:pPr>
        <w:spacing w:after="0" w:before="60" w:lin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Solar Market Analyst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40" w:before="0" w:line="24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1f3a5f"/>
          <w:sz w:val="19"/>
          <w:szCs w:val="19"/>
          <w:rtl w:val="0"/>
        </w:rPr>
        <w:t xml:space="preserve">Day One Solar  |  Santa Cruz, CA  |  2018 –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360" w:right="0" w:hanging="195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Analyzed utility, incentive, and consumption data to identify underserved segments in California multifamily and agricultural solar; built ROI models that informed community-solar go-to-market strategy.</w:t>
      </w:r>
    </w:p>
    <w:p w:rsidR="00000000" w:rsidDel="00000000" w:rsidP="00000000" w:rsidRDefault="00000000" w:rsidRPr="00000000" w14:paraId="00000016">
      <w:pPr>
        <w:pBdr>
          <w:bottom w:color="b8c5d6" w:space="2" w:sz="6" w:val="single"/>
        </w:pBdr>
        <w:spacing w:after="40" w:before="120" w:lin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a5f"/>
          <w:sz w:val="21"/>
          <w:szCs w:val="21"/>
          <w:rtl w:val="0"/>
        </w:rPr>
        <w:t xml:space="preserve">EDUCATION &amp; 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360" w:right="0" w:hanging="195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California Polytechnic State University, San Luis Obispo: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B.S. Liberal Arts &amp; Engineering Studies (Technology, Sustainability, Product Design). Cum Laude. Engineering Academic Excellence Award. (2015)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360" w:right="0" w:hanging="195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MIT Professional Education: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Applied Data Science Program — Leveraging AI for Effective Decision-Making (2024–2025)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360" w:right="0" w:hanging="195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Stanford Online: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Supervised Machine Learning with Andrew Ng (2024)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360" w:right="0" w:hanging="195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Anthropic: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Claude Code in Action (2026)  |  Introduction to Claude Cowork (2026)  |  Claude 101 (2026)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360" w:right="0" w:hanging="195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Google: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Foundations of User Experience Design (2023)</w:t>
      </w:r>
    </w:p>
    <w:p w:rsidR="00000000" w:rsidDel="00000000" w:rsidP="00000000" w:rsidRDefault="00000000" w:rsidRPr="00000000" w14:paraId="0000001C">
      <w:pPr>
        <w:pBdr>
          <w:bottom w:color="b8c5d6" w:space="2" w:sz="6" w:val="single"/>
        </w:pBdr>
        <w:spacing w:after="40" w:before="120" w:lin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a5f"/>
          <w:sz w:val="21"/>
          <w:szCs w:val="21"/>
          <w:rtl w:val="0"/>
        </w:rPr>
        <w:t xml:space="preserve">SELECTED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360" w:right="0" w:hanging="195"/>
        <w:jc w:val="left"/>
        <w:rPr/>
      </w:pPr>
      <w:r w:rsidDel="00000000" w:rsidR="00000000" w:rsidRPr="00000000">
        <w:rPr>
          <w:rFonts w:ascii="Arial" w:cs="Arial" w:eastAsia="Arial" w:hAnsi="Arial"/>
          <w:b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>Hermes / personal agent system: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Multi-agent workflow system with scoped memory, tools, Telegram, scheduled jobs, model routing, and voice summaries. Shows applied AI in a real operating routine, not just a demo.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360" w:right="0" w:hanging="195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BTC Price Driver Analysis: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Quant research investigating Bitcoin returns against halving cycle, power-law fit, and M2 supply. Triple-SMA strategy walk-forward backtested at 1.8 Sharpe. Lives at bitcoinmachinelearning.com.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360" w:right="0" w:hanging="195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MIT ADSP Capstone (used-car ML pricing):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Ensemble pricing model for used vehicles. Compared linear baselines against XGBoost, Random Forest, and Gradient Boosting; tuned for generalization, not leaderboard fit.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360" w:right="0" w:hanging="195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Hull Tactical Kaggle (S&amp;P forward returns):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Random Forest classifier predicting next-day S&amp;P direction, beating the competition’s baseline Gaussian Mixture model on the public leaderboard with feature engineering on macro and technical inputs.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360" w:right="0" w:hanging="195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Trading &amp; markets practice: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Active participant in equities and crypto markets since 2019 — source of the domain fluency behind the BTC research site, the ML pricing work, and how I think about signal-vs-noise in product analytics.</w:t>
      </w:r>
    </w:p>
    <w:sectPr>
      <w:pgSz w:h="15840" w:w="12240" w:orient="portrait"/>
      <w:pgMar w:bottom="540" w:top="54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360" w:hanging="195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lexhorton.dev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